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E50A" w14:textId="7B9E7E6E" w:rsidR="004A4919" w:rsidRPr="0047028A" w:rsidRDefault="004A4919" w:rsidP="00A428C5">
      <w:pPr>
        <w:rPr>
          <w:sz w:val="24"/>
          <w:szCs w:val="24"/>
          <w:lang w:eastAsia="zh-CN"/>
        </w:rPr>
      </w:pPr>
      <w:r w:rsidRPr="0047028A">
        <w:rPr>
          <w:sz w:val="24"/>
          <w:szCs w:val="24"/>
          <w:lang w:eastAsia="zh-CN"/>
        </w:rPr>
        <w:t xml:space="preserve">JOYNEXT included in KPMG China’s Leading </w:t>
      </w:r>
      <w:proofErr w:type="spellStart"/>
      <w:r w:rsidRPr="0047028A">
        <w:rPr>
          <w:sz w:val="24"/>
          <w:szCs w:val="24"/>
          <w:lang w:eastAsia="zh-CN"/>
        </w:rPr>
        <w:t>Autotech</w:t>
      </w:r>
      <w:proofErr w:type="spellEnd"/>
      <w:r w:rsidRPr="0047028A">
        <w:rPr>
          <w:sz w:val="24"/>
          <w:szCs w:val="24"/>
          <w:lang w:eastAsia="zh-CN"/>
        </w:rPr>
        <w:t xml:space="preserve"> 50 Fifth Edition</w:t>
      </w:r>
    </w:p>
    <w:p w14:paraId="36CADED2" w14:textId="77777777" w:rsidR="00A428C5" w:rsidRPr="0047028A" w:rsidRDefault="00A428C5" w:rsidP="004A4919">
      <w:pPr>
        <w:jc w:val="both"/>
        <w:rPr>
          <w:sz w:val="24"/>
          <w:szCs w:val="24"/>
          <w:lang w:eastAsia="zh-CN"/>
        </w:rPr>
      </w:pPr>
    </w:p>
    <w:p w14:paraId="1FA059D2" w14:textId="438A4F16" w:rsidR="004A4919" w:rsidRPr="0047028A" w:rsidRDefault="002742EA" w:rsidP="00A428C5">
      <w:pPr>
        <w:jc w:val="both"/>
        <w:rPr>
          <w:sz w:val="24"/>
          <w:szCs w:val="24"/>
          <w:lang w:eastAsia="zh-CN"/>
        </w:rPr>
      </w:pPr>
      <w:r w:rsidRPr="002742EA">
        <w:rPr>
          <w:sz w:val="24"/>
          <w:szCs w:val="24"/>
          <w:lang w:eastAsia="zh-CN"/>
        </w:rPr>
        <w:t>NINGBO, August 15, 2022 —— </w:t>
      </w:r>
      <w:r w:rsidR="004A4919" w:rsidRPr="0047028A">
        <w:rPr>
          <w:sz w:val="24"/>
          <w:szCs w:val="24"/>
          <w:lang w:eastAsia="zh-CN"/>
        </w:rPr>
        <w:t xml:space="preserve">Recently, KPMG China released the “China’s Leading </w:t>
      </w:r>
      <w:proofErr w:type="spellStart"/>
      <w:r w:rsidR="004A4919" w:rsidRPr="0047028A">
        <w:rPr>
          <w:sz w:val="24"/>
          <w:szCs w:val="24"/>
          <w:lang w:eastAsia="zh-CN"/>
        </w:rPr>
        <w:t>Autotech</w:t>
      </w:r>
      <w:proofErr w:type="spellEnd"/>
      <w:r w:rsidR="004A4919" w:rsidRPr="0047028A">
        <w:rPr>
          <w:sz w:val="24"/>
          <w:szCs w:val="24"/>
          <w:lang w:eastAsia="zh-CN"/>
        </w:rPr>
        <w:t xml:space="preserve"> 50 Fifth Edition”. JOYNEXT, by virtue of its years of experience in intelligent cockpit, smart connectivity, autonomous driving and SaaS/</w:t>
      </w:r>
      <w:proofErr w:type="spellStart"/>
      <w:r w:rsidR="004A4919" w:rsidRPr="0047028A">
        <w:rPr>
          <w:sz w:val="24"/>
          <w:szCs w:val="24"/>
          <w:lang w:eastAsia="zh-CN"/>
        </w:rPr>
        <w:t>SaaP</w:t>
      </w:r>
      <w:proofErr w:type="spellEnd"/>
      <w:r w:rsidR="004A4919" w:rsidRPr="0047028A">
        <w:rPr>
          <w:sz w:val="24"/>
          <w:szCs w:val="24"/>
          <w:lang w:eastAsia="zh-CN"/>
        </w:rPr>
        <w:t xml:space="preserve"> as well as its technical advantages, has been successfully included into the KPMG China’s Leading </w:t>
      </w:r>
      <w:proofErr w:type="spellStart"/>
      <w:r w:rsidR="004A4919" w:rsidRPr="0047028A">
        <w:rPr>
          <w:sz w:val="24"/>
          <w:szCs w:val="24"/>
          <w:lang w:eastAsia="zh-CN"/>
        </w:rPr>
        <w:t>Autotech</w:t>
      </w:r>
      <w:proofErr w:type="spellEnd"/>
      <w:r w:rsidR="004A4919" w:rsidRPr="0047028A">
        <w:rPr>
          <w:sz w:val="24"/>
          <w:szCs w:val="24"/>
          <w:lang w:eastAsia="zh-CN"/>
        </w:rPr>
        <w:t xml:space="preserve"> 50.</w:t>
      </w:r>
    </w:p>
    <w:p w14:paraId="22E74B9A" w14:textId="2B10B236" w:rsidR="004A4919" w:rsidRPr="0047028A" w:rsidRDefault="004A4919" w:rsidP="00A428C5">
      <w:pPr>
        <w:jc w:val="both"/>
        <w:rPr>
          <w:sz w:val="24"/>
          <w:szCs w:val="24"/>
          <w:lang w:eastAsia="zh-CN"/>
        </w:rPr>
      </w:pPr>
    </w:p>
    <w:p w14:paraId="1E4C0F44" w14:textId="09BE44FB" w:rsidR="004A4919" w:rsidRPr="0047028A" w:rsidRDefault="004D2C56" w:rsidP="00A428C5">
      <w:pPr>
        <w:jc w:val="center"/>
        <w:rPr>
          <w:sz w:val="24"/>
          <w:szCs w:val="24"/>
          <w:lang w:eastAsia="zh-CN"/>
        </w:rPr>
      </w:pPr>
      <w:r w:rsidRPr="0047028A">
        <w:rPr>
          <w:noProof/>
          <w:sz w:val="24"/>
          <w:szCs w:val="24"/>
        </w:rPr>
        <w:drawing>
          <wp:inline distT="0" distB="0" distL="0" distR="0" wp14:anchorId="1A25F779" wp14:editId="3D93960E">
            <wp:extent cx="2743200" cy="1526540"/>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43200" cy="1526540"/>
                    </a:xfrm>
                    <a:prstGeom prst="rect">
                      <a:avLst/>
                    </a:prstGeom>
                    <a:noFill/>
                    <a:ln>
                      <a:noFill/>
                    </a:ln>
                  </pic:spPr>
                </pic:pic>
              </a:graphicData>
            </a:graphic>
          </wp:inline>
        </w:drawing>
      </w:r>
    </w:p>
    <w:p w14:paraId="6368FAFE" w14:textId="77777777" w:rsidR="004D2C56" w:rsidRPr="0047028A" w:rsidRDefault="004D2C56" w:rsidP="00A428C5">
      <w:pPr>
        <w:jc w:val="both"/>
        <w:rPr>
          <w:sz w:val="24"/>
          <w:szCs w:val="24"/>
          <w:lang w:eastAsia="zh-CN"/>
        </w:rPr>
      </w:pPr>
    </w:p>
    <w:p w14:paraId="32DEB3A3" w14:textId="1F2B61F9" w:rsidR="004A4919" w:rsidRPr="0047028A" w:rsidRDefault="004A4919" w:rsidP="00A428C5">
      <w:pPr>
        <w:jc w:val="both"/>
        <w:rPr>
          <w:sz w:val="24"/>
          <w:szCs w:val="24"/>
          <w:lang w:eastAsia="zh-CN"/>
        </w:rPr>
      </w:pPr>
      <w:r w:rsidRPr="0047028A">
        <w:rPr>
          <w:sz w:val="24"/>
          <w:szCs w:val="24"/>
          <w:lang w:eastAsia="zh-CN"/>
        </w:rPr>
        <w:t>KPMG China selected 50 leading companies and 50 emerging companies with excellent performance, vitality and potential based on 6 core dimensions, namely innovation in technology and business models, market recognition and market segment potential, transformation and empowerment to traditional auto industry, valuation and capital market recognition, financial health and growth level, and team competence and innovation mechanism.</w:t>
      </w:r>
    </w:p>
    <w:p w14:paraId="249E4690" w14:textId="77777777" w:rsidR="004A4919" w:rsidRPr="0047028A" w:rsidRDefault="004A4919" w:rsidP="00A428C5">
      <w:pPr>
        <w:jc w:val="both"/>
        <w:rPr>
          <w:sz w:val="24"/>
          <w:szCs w:val="24"/>
          <w:lang w:eastAsia="zh-CN"/>
        </w:rPr>
      </w:pPr>
    </w:p>
    <w:p w14:paraId="64B0CECC" w14:textId="2218AB0D" w:rsidR="004A4919" w:rsidRPr="0047028A" w:rsidRDefault="004A4919" w:rsidP="00A428C5">
      <w:pPr>
        <w:jc w:val="both"/>
        <w:rPr>
          <w:sz w:val="24"/>
          <w:szCs w:val="24"/>
          <w:lang w:eastAsia="zh-CN"/>
        </w:rPr>
      </w:pPr>
      <w:r w:rsidRPr="0047028A">
        <w:rPr>
          <w:sz w:val="24"/>
          <w:szCs w:val="24"/>
          <w:lang w:eastAsia="zh-CN"/>
        </w:rPr>
        <w:t>Our presence as an automotive supplier has grown over the past two decades. We began providing in-vehicle infotainment system to Volkswagen in 1997, and today, our system is offered in more than 12 million vehicles under three major Volkswagen brands. What’s more, we are more than ready for the upcoming multi-domain fusion, based on our extensive experience as a supplier of cockpit domain control unit, and we have expanded further into autonomous driving domain and software products.</w:t>
      </w:r>
    </w:p>
    <w:p w14:paraId="6DFA5D98" w14:textId="77777777" w:rsidR="004A4919" w:rsidRPr="0047028A" w:rsidRDefault="004A4919" w:rsidP="00A428C5">
      <w:pPr>
        <w:jc w:val="both"/>
        <w:rPr>
          <w:sz w:val="24"/>
          <w:szCs w:val="24"/>
          <w:lang w:eastAsia="zh-CN"/>
        </w:rPr>
      </w:pPr>
    </w:p>
    <w:p w14:paraId="58CE5D65" w14:textId="57B642EA" w:rsidR="004A4919" w:rsidRPr="0047028A" w:rsidRDefault="004A4919" w:rsidP="00A428C5">
      <w:pPr>
        <w:jc w:val="both"/>
        <w:rPr>
          <w:sz w:val="24"/>
          <w:szCs w:val="24"/>
          <w:lang w:eastAsia="zh-CN"/>
        </w:rPr>
      </w:pPr>
      <w:r w:rsidRPr="0047028A">
        <w:rPr>
          <w:sz w:val="24"/>
          <w:szCs w:val="24"/>
          <w:lang w:eastAsia="zh-CN"/>
        </w:rPr>
        <w:t xml:space="preserve">Based on our keen insight into auto industry and constant exploration and innovation in products, strive to develop 5G+C-V2X technology that holds a core position in ICV. Back in 2015, we began to implement DSRC roadmap for V2X in Europe, following with C-V2X roadmap in China, with a focus on the fluent switching between traditional driving and autonomous driving, and the aim to guarantee real-time synchronization and precise connectivity. Now, we are one of the first auto supplier that has used 5G+C-V2X technologies in mass-production the world, and we </w:t>
      </w:r>
      <w:r w:rsidRPr="0047028A">
        <w:rPr>
          <w:rFonts w:hint="eastAsia"/>
          <w:sz w:val="24"/>
          <w:szCs w:val="24"/>
          <w:lang w:eastAsia="zh-CN"/>
        </w:rPr>
        <w:t>will</w:t>
      </w:r>
      <w:r w:rsidRPr="0047028A">
        <w:rPr>
          <w:sz w:val="24"/>
          <w:szCs w:val="24"/>
          <w:lang w:eastAsia="zh-CN"/>
        </w:rPr>
        <w:t xml:space="preserve"> secure more platform orders from top global OEMs. </w:t>
      </w:r>
    </w:p>
    <w:p w14:paraId="1629C423" w14:textId="77777777" w:rsidR="004A4919" w:rsidRPr="0047028A" w:rsidRDefault="004A4919" w:rsidP="00A428C5">
      <w:pPr>
        <w:jc w:val="both"/>
        <w:rPr>
          <w:sz w:val="24"/>
          <w:szCs w:val="24"/>
          <w:lang w:eastAsia="zh-CN"/>
        </w:rPr>
      </w:pPr>
    </w:p>
    <w:p w14:paraId="15A49937" w14:textId="00AEBE42" w:rsidR="004A4919" w:rsidRPr="0047028A" w:rsidRDefault="004A4919" w:rsidP="00A428C5">
      <w:pPr>
        <w:jc w:val="both"/>
        <w:rPr>
          <w:color w:val="000000" w:themeColor="text1"/>
          <w:sz w:val="24"/>
          <w:szCs w:val="24"/>
          <w:lang w:eastAsia="zh-CN"/>
        </w:rPr>
      </w:pPr>
      <w:r w:rsidRPr="0047028A">
        <w:rPr>
          <w:color w:val="000000" w:themeColor="text1"/>
          <w:sz w:val="24"/>
          <w:szCs w:val="24"/>
          <w:lang w:eastAsia="zh-CN"/>
        </w:rPr>
        <w:t>Technology and talents come first for a tech company like us, and so we care about the sustainability of both. Every year, we spend</w:t>
      </w:r>
      <w:r w:rsidR="00A00BC4" w:rsidRPr="0047028A">
        <w:rPr>
          <w:color w:val="000000" w:themeColor="text1"/>
          <w:sz w:val="24"/>
          <w:szCs w:val="24"/>
          <w:lang w:eastAsia="zh-CN"/>
        </w:rPr>
        <w:t xml:space="preserve"> approximately </w:t>
      </w:r>
      <w:r w:rsidRPr="0047028A">
        <w:rPr>
          <w:color w:val="000000" w:themeColor="text1"/>
          <w:sz w:val="24"/>
          <w:szCs w:val="24"/>
          <w:lang w:eastAsia="zh-CN"/>
        </w:rPr>
        <w:t xml:space="preserve">10% of revenue on R&amp;D for continuous iteration and upgrade of our products and technologies. Professionals are also one of our priorities. A new talent development center, employee caring program and culture integration projects are launched this year, </w:t>
      </w:r>
      <w:r w:rsidR="00A00BC4" w:rsidRPr="0047028A">
        <w:rPr>
          <w:color w:val="000000" w:themeColor="text1"/>
          <w:sz w:val="24"/>
          <w:szCs w:val="24"/>
          <w:lang w:eastAsia="zh-CN"/>
        </w:rPr>
        <w:t>allowing</w:t>
      </w:r>
      <w:r w:rsidRPr="0047028A">
        <w:rPr>
          <w:color w:val="000000" w:themeColor="text1"/>
          <w:sz w:val="24"/>
          <w:szCs w:val="24"/>
          <w:lang w:eastAsia="zh-CN"/>
        </w:rPr>
        <w:t xml:space="preserve"> our global employees to embrace greater growth.</w:t>
      </w:r>
    </w:p>
    <w:p w14:paraId="669680C2" w14:textId="77777777" w:rsidR="004A4919" w:rsidRPr="0047028A" w:rsidRDefault="004A4919" w:rsidP="00A428C5">
      <w:pPr>
        <w:jc w:val="both"/>
        <w:rPr>
          <w:sz w:val="24"/>
          <w:szCs w:val="24"/>
          <w:lang w:eastAsia="zh-CN"/>
        </w:rPr>
      </w:pPr>
    </w:p>
    <w:p w14:paraId="60AC100C" w14:textId="27103659" w:rsidR="004A4919" w:rsidRPr="0047028A" w:rsidRDefault="004A4919" w:rsidP="00A428C5">
      <w:pPr>
        <w:jc w:val="both"/>
        <w:rPr>
          <w:sz w:val="24"/>
          <w:szCs w:val="24"/>
          <w:lang w:eastAsia="zh-CN"/>
        </w:rPr>
      </w:pPr>
      <w:r w:rsidRPr="0047028A">
        <w:rPr>
          <w:sz w:val="24"/>
          <w:szCs w:val="24"/>
          <w:lang w:eastAsia="zh-CN"/>
        </w:rPr>
        <w:lastRenderedPageBreak/>
        <w:t xml:space="preserve">As the global auto ecosystem is making unceasing progress, technology is constantly integrating with auto development. JOYNEXT has been committed to </w:t>
      </w:r>
      <w:r w:rsidRPr="0047028A">
        <w:rPr>
          <w:rFonts w:hint="eastAsia"/>
          <w:sz w:val="24"/>
          <w:szCs w:val="24"/>
          <w:lang w:eastAsia="zh-CN"/>
        </w:rPr>
        <w:t>next</w:t>
      </w:r>
      <w:r w:rsidRPr="0047028A">
        <w:rPr>
          <w:sz w:val="24"/>
          <w:szCs w:val="24"/>
          <w:lang w:eastAsia="zh-CN"/>
        </w:rPr>
        <w:t xml:space="preserve"> technologies shape mobility for generations </w:t>
      </w:r>
      <w:r w:rsidRPr="0047028A">
        <w:rPr>
          <w:rFonts w:hint="eastAsia"/>
          <w:sz w:val="24"/>
          <w:szCs w:val="24"/>
          <w:lang w:eastAsia="zh-CN"/>
        </w:rPr>
        <w:t>and</w:t>
      </w:r>
      <w:r w:rsidRPr="0047028A">
        <w:rPr>
          <w:sz w:val="24"/>
          <w:szCs w:val="24"/>
          <w:lang w:eastAsia="zh-CN"/>
        </w:rPr>
        <w:t xml:space="preserve"> provid</w:t>
      </w:r>
      <w:r w:rsidR="00BC313F" w:rsidRPr="0047028A">
        <w:rPr>
          <w:rFonts w:hint="eastAsia"/>
          <w:sz w:val="24"/>
          <w:szCs w:val="24"/>
          <w:lang w:eastAsia="zh-CN"/>
        </w:rPr>
        <w:t>ing</w:t>
      </w:r>
      <w:r w:rsidRPr="0047028A">
        <w:rPr>
          <w:sz w:val="24"/>
          <w:szCs w:val="24"/>
          <w:lang w:eastAsia="zh-CN"/>
        </w:rPr>
        <w:t xml:space="preserve"> solutions that enable agility and adaptability to the global market.</w:t>
      </w:r>
    </w:p>
    <w:p w14:paraId="3401CE8D" w14:textId="445DB603" w:rsidR="00A428C5" w:rsidRPr="0047028A" w:rsidRDefault="00A428C5" w:rsidP="00A428C5">
      <w:pPr>
        <w:jc w:val="both"/>
        <w:rPr>
          <w:sz w:val="24"/>
          <w:szCs w:val="24"/>
          <w:lang w:eastAsia="zh-CN"/>
        </w:rPr>
      </w:pPr>
    </w:p>
    <w:p w14:paraId="2582059D" w14:textId="77777777" w:rsidR="00A428C5" w:rsidRPr="0047028A" w:rsidRDefault="00A428C5" w:rsidP="00A428C5">
      <w:pPr>
        <w:jc w:val="both"/>
        <w:rPr>
          <w:b/>
          <w:bCs/>
          <w:sz w:val="24"/>
          <w:szCs w:val="24"/>
          <w:lang w:eastAsia="zh-CN"/>
        </w:rPr>
      </w:pPr>
      <w:r w:rsidRPr="0047028A">
        <w:rPr>
          <w:b/>
          <w:bCs/>
          <w:sz w:val="24"/>
          <w:szCs w:val="24"/>
          <w:lang w:eastAsia="zh-CN"/>
        </w:rPr>
        <w:t>About JOYNEXT</w:t>
      </w:r>
    </w:p>
    <w:p w14:paraId="081E1B1A" w14:textId="77777777" w:rsidR="00A428C5" w:rsidRPr="0047028A" w:rsidRDefault="00A428C5" w:rsidP="00A428C5">
      <w:pPr>
        <w:jc w:val="both"/>
        <w:rPr>
          <w:sz w:val="24"/>
          <w:szCs w:val="24"/>
          <w:lang w:eastAsia="zh-CN"/>
        </w:rPr>
      </w:pPr>
    </w:p>
    <w:p w14:paraId="0602575E" w14:textId="77777777" w:rsidR="00A428C5" w:rsidRPr="0047028A" w:rsidRDefault="00A428C5" w:rsidP="00A428C5">
      <w:pPr>
        <w:jc w:val="both"/>
        <w:rPr>
          <w:sz w:val="24"/>
          <w:szCs w:val="24"/>
          <w:lang w:eastAsia="zh-CN"/>
        </w:rPr>
      </w:pPr>
      <w:r w:rsidRPr="0047028A">
        <w:rPr>
          <w:sz w:val="24"/>
          <w:szCs w:val="24"/>
          <w:lang w:eastAsia="zh-CN"/>
        </w:rPr>
        <w:t xml:space="preserve">JOYNEXT is the Automotive Connectivity BU of </w:t>
      </w:r>
      <w:proofErr w:type="spellStart"/>
      <w:r w:rsidRPr="0047028A">
        <w:rPr>
          <w:sz w:val="24"/>
          <w:szCs w:val="24"/>
          <w:lang w:eastAsia="zh-CN"/>
        </w:rPr>
        <w:t>Joyson</w:t>
      </w:r>
      <w:proofErr w:type="spellEnd"/>
      <w:r w:rsidRPr="0047028A">
        <w:rPr>
          <w:sz w:val="24"/>
          <w:szCs w:val="24"/>
          <w:lang w:eastAsia="zh-CN"/>
        </w:rPr>
        <w:t xml:space="preserve"> Electronics. Headquartered in Ningbo, China. We have around 1,300 employees, including over 800 R&amp;D engineers, working across four R&amp;D centers, three global manufacturing locations, and seven customer centers around the world.</w:t>
      </w:r>
    </w:p>
    <w:p w14:paraId="22DE56FD" w14:textId="77777777" w:rsidR="00A428C5" w:rsidRPr="0047028A" w:rsidRDefault="00A428C5" w:rsidP="00A428C5">
      <w:pPr>
        <w:jc w:val="both"/>
        <w:rPr>
          <w:sz w:val="24"/>
          <w:szCs w:val="24"/>
          <w:lang w:eastAsia="zh-CN"/>
        </w:rPr>
      </w:pPr>
    </w:p>
    <w:p w14:paraId="46BBF756" w14:textId="77777777" w:rsidR="00A428C5" w:rsidRPr="0047028A" w:rsidRDefault="00A428C5" w:rsidP="00A428C5">
      <w:pPr>
        <w:jc w:val="both"/>
        <w:rPr>
          <w:sz w:val="24"/>
          <w:szCs w:val="24"/>
          <w:lang w:eastAsia="zh-CN"/>
        </w:rPr>
      </w:pPr>
      <w:r w:rsidRPr="0047028A">
        <w:rPr>
          <w:sz w:val="24"/>
          <w:szCs w:val="24"/>
          <w:lang w:eastAsia="zh-CN"/>
        </w:rPr>
        <w:t xml:space="preserve">With over two decades of experience as a Tier-1 supplier to the world’s top automotive makers, we have established and maintained long-term partnerships with leading automotive brands, such as Volkswagen, Audi, and Ford. Putting ourselves in the shoes of our users, we are consistently working on intelligent car networking solutions of vital importance to both car makers and users. Through our V2X (Vehicle to Everything) technology, we have achieved the intelligent connectivity of cars, infrastructure, and even mobile devices, such as smartphones, for advancing the uptake of autonomous driving. In addition to our diverse range of exemplary cloud-based service features, we also deliver </w:t>
      </w:r>
      <w:proofErr w:type="spellStart"/>
      <w:r w:rsidRPr="0047028A">
        <w:rPr>
          <w:sz w:val="24"/>
          <w:szCs w:val="24"/>
          <w:lang w:eastAsia="zh-CN"/>
        </w:rPr>
        <w:t>IoV</w:t>
      </w:r>
      <w:proofErr w:type="spellEnd"/>
      <w:r w:rsidRPr="0047028A">
        <w:rPr>
          <w:sz w:val="24"/>
          <w:szCs w:val="24"/>
          <w:lang w:eastAsia="zh-CN"/>
        </w:rPr>
        <w:t>-related SaaS/</w:t>
      </w:r>
      <w:proofErr w:type="spellStart"/>
      <w:r w:rsidRPr="0047028A">
        <w:rPr>
          <w:sz w:val="24"/>
          <w:szCs w:val="24"/>
          <w:lang w:eastAsia="zh-CN"/>
        </w:rPr>
        <w:t>SaaP</w:t>
      </w:r>
      <w:proofErr w:type="spellEnd"/>
      <w:r w:rsidRPr="0047028A">
        <w:rPr>
          <w:sz w:val="24"/>
          <w:szCs w:val="24"/>
          <w:lang w:eastAsia="zh-CN"/>
        </w:rPr>
        <w:t xml:space="preserve"> services, such as navigation and AR engines.</w:t>
      </w:r>
    </w:p>
    <w:p w14:paraId="340C6666" w14:textId="77777777" w:rsidR="00A428C5" w:rsidRPr="0047028A" w:rsidRDefault="00A428C5" w:rsidP="00A428C5">
      <w:pPr>
        <w:jc w:val="both"/>
        <w:rPr>
          <w:sz w:val="24"/>
          <w:szCs w:val="24"/>
          <w:lang w:eastAsia="zh-CN"/>
        </w:rPr>
      </w:pPr>
    </w:p>
    <w:p w14:paraId="5AC12DD2" w14:textId="77777777" w:rsidR="00A428C5" w:rsidRPr="0047028A" w:rsidRDefault="00A428C5" w:rsidP="00A428C5">
      <w:pPr>
        <w:jc w:val="both"/>
        <w:rPr>
          <w:sz w:val="24"/>
          <w:szCs w:val="24"/>
          <w:lang w:eastAsia="zh-CN"/>
        </w:rPr>
      </w:pPr>
      <w:r w:rsidRPr="0047028A">
        <w:rPr>
          <w:sz w:val="24"/>
          <w:szCs w:val="24"/>
          <w:lang w:eastAsia="zh-CN"/>
        </w:rPr>
        <w:t>Balancing innovation with sustainability, our success is built on a strong foundation of product R&amp;D and in novation, industrialization, connectivity services, automotive cyber security, and more. Our in-vehicle infotainment (IVI) and intelligent networking technologies have been used in over ten million cars around the world. Moreover, JOYNEXT won an order of 5G-V2X, and became one of the world's first 5G-V2X mass producers.</w:t>
      </w:r>
    </w:p>
    <w:p w14:paraId="4007B82A" w14:textId="77777777" w:rsidR="00A428C5" w:rsidRPr="0047028A" w:rsidRDefault="00A428C5" w:rsidP="00A428C5">
      <w:pPr>
        <w:jc w:val="both"/>
        <w:rPr>
          <w:sz w:val="24"/>
          <w:szCs w:val="24"/>
          <w:lang w:eastAsia="zh-CN"/>
        </w:rPr>
      </w:pPr>
    </w:p>
    <w:p w14:paraId="5A1C732B" w14:textId="03310C29" w:rsidR="00A428C5" w:rsidRPr="0047028A" w:rsidRDefault="00A428C5" w:rsidP="00A428C5">
      <w:pPr>
        <w:jc w:val="both"/>
        <w:rPr>
          <w:sz w:val="24"/>
          <w:szCs w:val="24"/>
          <w:lang w:eastAsia="zh-CN"/>
        </w:rPr>
      </w:pPr>
      <w:r w:rsidRPr="0047028A">
        <w:rPr>
          <w:sz w:val="24"/>
          <w:szCs w:val="24"/>
          <w:lang w:eastAsia="zh-CN"/>
        </w:rPr>
        <w:t>Working together with employees around the world, we are dedicated to delivering next-gen technologies, making continuous efforts in shaping future smart mobility!</w:t>
      </w:r>
    </w:p>
    <w:p w14:paraId="43F0747A" w14:textId="61D9586D" w:rsidR="004A4919" w:rsidRPr="0047028A" w:rsidRDefault="004A4919" w:rsidP="00A428C5">
      <w:pPr>
        <w:jc w:val="both"/>
        <w:rPr>
          <w:sz w:val="24"/>
          <w:szCs w:val="24"/>
          <w:lang w:eastAsia="zh-CN"/>
        </w:rPr>
      </w:pPr>
    </w:p>
    <w:p w14:paraId="6A22488D" w14:textId="40464C33" w:rsidR="00A428C5" w:rsidRPr="0047028A" w:rsidRDefault="00A428C5" w:rsidP="004A4919">
      <w:pPr>
        <w:jc w:val="both"/>
        <w:rPr>
          <w:sz w:val="24"/>
          <w:szCs w:val="24"/>
          <w:lang w:eastAsia="zh-CN"/>
        </w:rPr>
      </w:pPr>
    </w:p>
    <w:p w14:paraId="63E6077C" w14:textId="0AB9FA6A" w:rsidR="00A428C5" w:rsidRPr="0047028A" w:rsidRDefault="00A428C5" w:rsidP="004A4919">
      <w:pPr>
        <w:jc w:val="both"/>
        <w:rPr>
          <w:sz w:val="24"/>
          <w:szCs w:val="24"/>
          <w:lang w:eastAsia="zh-CN"/>
        </w:rPr>
      </w:pPr>
    </w:p>
    <w:p w14:paraId="4448D35B" w14:textId="77777777" w:rsidR="00A428C5" w:rsidRPr="0047028A" w:rsidRDefault="00A428C5" w:rsidP="00A428C5">
      <w:pPr>
        <w:jc w:val="both"/>
        <w:rPr>
          <w:b/>
          <w:bCs/>
          <w:sz w:val="24"/>
          <w:szCs w:val="24"/>
          <w:lang w:eastAsia="zh-CN"/>
        </w:rPr>
      </w:pPr>
      <w:r w:rsidRPr="0047028A">
        <w:rPr>
          <w:b/>
          <w:bCs/>
          <w:sz w:val="24"/>
          <w:szCs w:val="24"/>
          <w:lang w:eastAsia="zh-CN"/>
        </w:rPr>
        <w:t>Media Contact</w:t>
      </w:r>
    </w:p>
    <w:p w14:paraId="38E132F5" w14:textId="77777777" w:rsidR="00A428C5" w:rsidRPr="0047028A" w:rsidRDefault="00A428C5" w:rsidP="00A428C5">
      <w:pPr>
        <w:jc w:val="both"/>
        <w:rPr>
          <w:sz w:val="24"/>
          <w:szCs w:val="24"/>
          <w:lang w:eastAsia="zh-CN"/>
        </w:rPr>
      </w:pPr>
    </w:p>
    <w:p w14:paraId="326CC63C" w14:textId="77777777" w:rsidR="00A428C5" w:rsidRPr="0047028A" w:rsidRDefault="00A428C5" w:rsidP="00A428C5">
      <w:pPr>
        <w:jc w:val="both"/>
        <w:rPr>
          <w:sz w:val="24"/>
          <w:szCs w:val="24"/>
          <w:lang w:eastAsia="zh-CN"/>
        </w:rPr>
      </w:pPr>
      <w:r w:rsidRPr="0047028A">
        <w:rPr>
          <w:sz w:val="24"/>
          <w:szCs w:val="24"/>
          <w:lang w:eastAsia="zh-CN"/>
        </w:rPr>
        <w:t xml:space="preserve">Ningbo </w:t>
      </w:r>
      <w:proofErr w:type="spellStart"/>
      <w:r w:rsidRPr="0047028A">
        <w:rPr>
          <w:sz w:val="24"/>
          <w:szCs w:val="24"/>
          <w:lang w:eastAsia="zh-CN"/>
        </w:rPr>
        <w:t>Joynext</w:t>
      </w:r>
      <w:proofErr w:type="spellEnd"/>
      <w:r w:rsidRPr="0047028A">
        <w:rPr>
          <w:sz w:val="24"/>
          <w:szCs w:val="24"/>
          <w:lang w:eastAsia="zh-CN"/>
        </w:rPr>
        <w:t xml:space="preserve"> Technology Corporation</w:t>
      </w:r>
    </w:p>
    <w:p w14:paraId="11FDAE7C" w14:textId="77777777" w:rsidR="00A428C5" w:rsidRPr="0047028A" w:rsidRDefault="00A428C5" w:rsidP="00A428C5">
      <w:pPr>
        <w:jc w:val="both"/>
        <w:rPr>
          <w:sz w:val="24"/>
          <w:szCs w:val="24"/>
          <w:lang w:eastAsia="zh-CN"/>
        </w:rPr>
      </w:pPr>
      <w:r w:rsidRPr="0047028A">
        <w:rPr>
          <w:sz w:val="24"/>
          <w:szCs w:val="24"/>
          <w:lang w:eastAsia="zh-CN"/>
        </w:rPr>
        <w:t xml:space="preserve">Moira Hu </w:t>
      </w:r>
    </w:p>
    <w:p w14:paraId="4C1B97D9" w14:textId="77777777" w:rsidR="00A428C5" w:rsidRPr="0047028A" w:rsidRDefault="00A428C5" w:rsidP="00A428C5">
      <w:pPr>
        <w:jc w:val="both"/>
        <w:rPr>
          <w:sz w:val="24"/>
          <w:szCs w:val="24"/>
          <w:lang w:eastAsia="zh-CN"/>
        </w:rPr>
      </w:pPr>
      <w:r w:rsidRPr="0047028A">
        <w:rPr>
          <w:sz w:val="24"/>
          <w:szCs w:val="24"/>
          <w:lang w:eastAsia="zh-CN"/>
        </w:rPr>
        <w:t>Email: Moira.Hu@joynext.com</w:t>
      </w:r>
    </w:p>
    <w:p w14:paraId="599D40A3" w14:textId="77777777" w:rsidR="00A428C5" w:rsidRPr="0047028A" w:rsidRDefault="00A428C5" w:rsidP="00A428C5">
      <w:pPr>
        <w:jc w:val="both"/>
        <w:rPr>
          <w:sz w:val="24"/>
          <w:szCs w:val="24"/>
          <w:lang w:eastAsia="zh-CN"/>
        </w:rPr>
      </w:pPr>
    </w:p>
    <w:p w14:paraId="1BC86A3C" w14:textId="00C5A122" w:rsidR="00A428C5" w:rsidRPr="0047028A" w:rsidRDefault="00A428C5" w:rsidP="00A428C5">
      <w:pPr>
        <w:jc w:val="both"/>
        <w:rPr>
          <w:sz w:val="24"/>
          <w:szCs w:val="24"/>
          <w:lang w:eastAsia="zh-CN"/>
        </w:rPr>
      </w:pPr>
      <w:r w:rsidRPr="0047028A">
        <w:rPr>
          <w:sz w:val="24"/>
          <w:szCs w:val="24"/>
          <w:lang w:eastAsia="zh-CN"/>
        </w:rPr>
        <w:t>For further information, please visit: www.joynext.com</w:t>
      </w:r>
    </w:p>
    <w:p w14:paraId="6D58C5E2" w14:textId="78642AED" w:rsidR="00863708" w:rsidRPr="0047028A" w:rsidRDefault="00863708" w:rsidP="004A4919">
      <w:pPr>
        <w:jc w:val="both"/>
        <w:rPr>
          <w:sz w:val="24"/>
          <w:szCs w:val="24"/>
          <w:lang w:eastAsia="zh-CN"/>
        </w:rPr>
      </w:pPr>
    </w:p>
    <w:sectPr w:rsidR="00863708" w:rsidRPr="004702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2910D" w14:textId="77777777" w:rsidR="00F20634" w:rsidRDefault="00F20634" w:rsidP="002969AF">
      <w:r>
        <w:separator/>
      </w:r>
    </w:p>
  </w:endnote>
  <w:endnote w:type="continuationSeparator" w:id="0">
    <w:p w14:paraId="7C94158D" w14:textId="77777777" w:rsidR="00F20634" w:rsidRDefault="00F20634" w:rsidP="0029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µÈÏß"/>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Regular">
    <w:panose1 w:val="02000503030000020004"/>
    <w:charset w:val="00"/>
    <w:family w:val="modern"/>
    <w:notTrueType/>
    <w:pitch w:val="variable"/>
    <w:sig w:usb0="800002AF" w:usb1="4000206A" w:usb2="00000000" w:usb3="00000000" w:csb0="0000009F" w:csb1="00000000"/>
  </w:font>
  <w:font w:name="DINPro-Light">
    <w:panose1 w:val="02000504040000020003"/>
    <w:charset w:val="00"/>
    <w:family w:val="modern"/>
    <w:notTrueType/>
    <w:pitch w:val="variable"/>
    <w:sig w:usb0="800002AF" w:usb1="4000206A"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536C" w14:textId="72B563F0" w:rsidR="002969AF" w:rsidRPr="003B5646" w:rsidRDefault="00CF69F4">
    <w:pPr>
      <w:pStyle w:val="Footer"/>
      <w:rPr>
        <w:rFonts w:ascii="DINPro-Regular" w:hAnsi="DINPro-Regular"/>
        <w:color w:val="808080" w:themeColor="background1" w:themeShade="80"/>
        <w:sz w:val="16"/>
        <w:lang w:val="de-DE" w:eastAsia="zh-CN"/>
      </w:rPr>
    </w:pPr>
    <w:r w:rsidRPr="003B5646">
      <w:rPr>
        <w:rFonts w:ascii="DINPro-Regular" w:hAnsi="DINPro-Regular"/>
        <w:noProof/>
        <w:color w:val="808080" w:themeColor="background1" w:themeShade="80"/>
        <w:sz w:val="16"/>
        <w:lang w:eastAsia="zh-CN"/>
      </w:rPr>
      <mc:AlternateContent>
        <mc:Choice Requires="wps">
          <w:drawing>
            <wp:anchor distT="0" distB="0" distL="114300" distR="114300" simplePos="0" relativeHeight="251659264" behindDoc="0" locked="0" layoutInCell="1" allowOverlap="1" wp14:anchorId="4E829BFB" wp14:editId="03F7B443">
              <wp:simplePos x="0" y="0"/>
              <wp:positionH relativeFrom="column">
                <wp:posOffset>6158865</wp:posOffset>
              </wp:positionH>
              <wp:positionV relativeFrom="paragraph">
                <wp:posOffset>163830</wp:posOffset>
              </wp:positionV>
              <wp:extent cx="560070" cy="595630"/>
              <wp:effectExtent l="152400" t="152400" r="0" b="147320"/>
              <wp:wrapNone/>
              <wp:docPr id="2" name="Right Triangle 2"/>
              <wp:cNvGraphicFramePr/>
              <a:graphic xmlns:a="http://schemas.openxmlformats.org/drawingml/2006/main">
                <a:graphicData uri="http://schemas.microsoft.com/office/word/2010/wordprocessingShape">
                  <wps:wsp>
                    <wps:cNvSpPr/>
                    <wps:spPr>
                      <a:xfrm rot="2610570">
                        <a:off x="0" y="0"/>
                        <a:ext cx="560070" cy="595630"/>
                      </a:xfrm>
                      <a:prstGeom prst="rtTriangle">
                        <a:avLst/>
                      </a:prstGeom>
                      <a:solidFill>
                        <a:srgbClr val="00A29A"/>
                      </a:solidFill>
                      <a:ln>
                        <a:solidFill>
                          <a:srgbClr val="00A2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8DCFFCD"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484.95pt;margin-top:12.9pt;width:44.1pt;height:46.9pt;rotation:28514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WDpQIAAMYFAAAOAAAAZHJzL2Uyb0RvYy54bWysVE1v2zAMvQ/YfxB0X+14SdoGdYogRYcB&#10;RVu0HXpWZCkWIEsapcTJfv0o+aNd112K+WCQIvlEPpG8uDw0muwFeGVNSScnOSXCcFspsy3pj6fr&#10;L2eU+MBMxbQ1oqRH4enl8vOni9YtRGFrqysBBEGMX7SupHUIbpFlnteiYf7EOmHQKC00LKAK26wC&#10;1iJ6o7Miz+dZa6FyYLnwHk+vOiNdJnwpBQ93UnoRiC4p5hbSH9J/E//Z8oIttsBcrXifBvtAFg1T&#10;Bi8doa5YYGQH6i+oRnGw3spwwm2TWSkVF6kGrGaSv6nmsWZOpFqQHO9Gmvz/g+W3+3sgqippQYlh&#10;DT7Rg9rWgTyBYmarBSkiR63zC3R9dPfQax7FWPBBQkPAIrHFfJLPTvNEAxZGDonl48iyOATC8XA2&#10;z3N0IxxNs/PZ/Gt6hayDipAOfPgmbEOiUFIIQy4Jmu1vfMAkMGBwjEHealVdK62TAtvNWgPZs/js&#10;+ao4X8UqMOQPN20+Fok4MTSLrHQ8JCkctYiA2jwIiZxirUVKOXWzGBNinAsTJp2pZpXo8pzl+A1p&#10;xv6PESnpBBiRJdY3YvcAg2cHMmB31fb+MVSkYRiDu2f6R2Jd8BiRbrYmjMGNMhbeq0xjVf3Nnf9A&#10;UkdNZGljqyN2XOoYbALv+LXCZ75hPtwzwNnDQ9wn4Q5/Utu2pLaXKKkt/HrvPPrjSKCVkhZnuaT+&#10;546BoER/Nzgs55PpNA5/Uqaz0wIVeG3ZvLaYXbO22DeTlF0So3/QgyjBNs+4dlbxVjQxw/HukvIA&#10;g7IO3Y7BxcXFapXccOAdCzfm0fEIHlmNDfx0eGbg+l4POCS3dph7tnjT7J1vjDR2tQtWqjQJL7z2&#10;fOOySI3TL7a4jV7ryetl/S5/AwAA//8DAFBLAwQUAAYACAAAACEAcxE+R+EAAAALAQAADwAAAGRy&#10;cy9kb3ducmV2LnhtbEyPsU7DMBCGdyTewTokFkTtVGrUpHEqQGIgYmlhoJsbX+OI+BzFTpO+Pe5E&#10;tzvdp/++v9jOtmNnHHzrSEKyEMCQaqdbaiR8f70/r4H5oEirzhFKuKCHbXl/V6hcu4l2eN6HhsUQ&#10;8rmSYELoc859bdAqv3A9Uryd3GBViOvQcD2oKYbbji+FSLlVLcUPRvX4ZrD+3Y9WQvVjTmO47Cr3&#10;+jFNB1E9zfUnSvn4ML9sgAWcwz8MV/2oDmV0OrqRtGedhCzNsohKWK5ihSsgVusE2DFOSZYCLwt+&#10;26H8AwAA//8DAFBLAQItABQABgAIAAAAIQC2gziS/gAAAOEBAAATAAAAAAAAAAAAAAAAAAAAAABb&#10;Q29udGVudF9UeXBlc10ueG1sUEsBAi0AFAAGAAgAAAAhADj9If/WAAAAlAEAAAsAAAAAAAAAAAAA&#10;AAAALwEAAF9yZWxzLy5yZWxzUEsBAi0AFAAGAAgAAAAhAAcdFYOlAgAAxgUAAA4AAAAAAAAAAAAA&#10;AAAALgIAAGRycy9lMm9Eb2MueG1sUEsBAi0AFAAGAAgAAAAhAHMRPkfhAAAACwEAAA8AAAAAAAAA&#10;AAAAAAAA/wQAAGRycy9kb3ducmV2LnhtbFBLBQYAAAAABAAEAPMAAAANBgAAAAA=&#10;" fillcolor="#00a29a" strokecolor="#00a29a" strokeweight="1pt"/>
          </w:pict>
        </mc:Fallback>
      </mc:AlternateContent>
    </w:r>
  </w:p>
  <w:p w14:paraId="0AEF834D" w14:textId="1D474D74" w:rsidR="002969AF" w:rsidRPr="00453EAB" w:rsidRDefault="00CF69F4" w:rsidP="00CF69F4">
    <w:pPr>
      <w:pStyle w:val="Footer"/>
      <w:rPr>
        <w:rFonts w:ascii="DINPro-Regular" w:hAnsi="DINPro-Regular"/>
        <w:color w:val="7F7F7F" w:themeColor="text1" w:themeTint="80"/>
        <w:sz w:val="14"/>
        <w:lang w:val="de-DE"/>
      </w:rPr>
    </w:pPr>
    <w:r w:rsidRPr="00453EAB">
      <w:rPr>
        <w:rFonts w:ascii="DINPro-Regular" w:hAnsi="DINPro-Regular"/>
        <w:color w:val="7F7F7F" w:themeColor="text1" w:themeTint="80"/>
        <w:sz w:val="14"/>
        <w:lang w:val="de-DE"/>
      </w:rPr>
      <w:t>No. 99, Qingyi Road, Hi-Tech Park, Ningbo, China, 315040</w:t>
    </w:r>
  </w:p>
  <w:p w14:paraId="30BF6878" w14:textId="6F147DC2" w:rsidR="002969AF" w:rsidRPr="00881BC8" w:rsidRDefault="00CD6273">
    <w:pPr>
      <w:pStyle w:val="Footer"/>
      <w:rPr>
        <w:rFonts w:ascii="DINPro-Light" w:hAnsi="DINPro-Light"/>
        <w:b/>
        <w:color w:val="00A29A"/>
        <w:sz w:val="18"/>
        <w:lang w:val="de-DE"/>
      </w:rPr>
    </w:pPr>
    <w:r w:rsidRPr="00CD6273">
      <w:rPr>
        <w:rFonts w:ascii="DINPro-Light" w:hAnsi="DINPro-Light"/>
        <w:b/>
        <w:color w:val="00A29A"/>
        <w:sz w:val="18"/>
        <w:lang w:val="de-DE"/>
      </w:rPr>
      <w:t>www.joynext.com</w:t>
    </w:r>
    <w:r>
      <w:rPr>
        <w:rFonts w:ascii="DINPro-Light" w:hAnsi="DINPro-Light"/>
        <w:b/>
        <w:color w:val="00A29A"/>
        <w:sz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A25B9" w14:textId="77777777" w:rsidR="00F20634" w:rsidRDefault="00F20634" w:rsidP="002969AF">
      <w:r>
        <w:separator/>
      </w:r>
    </w:p>
  </w:footnote>
  <w:footnote w:type="continuationSeparator" w:id="0">
    <w:p w14:paraId="58075141" w14:textId="77777777" w:rsidR="00F20634" w:rsidRDefault="00F20634" w:rsidP="0029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A90D3" w14:textId="2311A9A4" w:rsidR="002969AF" w:rsidRDefault="00766A5E">
    <w:pPr>
      <w:pStyle w:val="Header"/>
    </w:pPr>
    <w:r>
      <w:t xml:space="preserve">     </w:t>
    </w:r>
    <w:r w:rsidR="002969AF">
      <w:rPr>
        <w:noProof/>
        <w:lang w:eastAsia="zh-CN"/>
      </w:rPr>
      <w:drawing>
        <wp:anchor distT="0" distB="0" distL="114300" distR="114300" simplePos="0" relativeHeight="251660288" behindDoc="1" locked="0" layoutInCell="1" allowOverlap="1" wp14:anchorId="21D245E8" wp14:editId="1FE4EF57">
          <wp:simplePos x="0" y="0"/>
          <wp:positionH relativeFrom="column">
            <wp:posOffset>158750</wp:posOffset>
          </wp:positionH>
          <wp:positionV relativeFrom="paragraph">
            <wp:posOffset>0</wp:posOffset>
          </wp:positionV>
          <wp:extent cx="1807845" cy="473710"/>
          <wp:effectExtent l="0" t="0" r="1905" b="2540"/>
          <wp:wrapTight wrapText="bothSides">
            <wp:wrapPolygon edited="0">
              <wp:start x="14567" y="0"/>
              <wp:lineTo x="0" y="1737"/>
              <wp:lineTo x="0" y="12161"/>
              <wp:lineTo x="228" y="20847"/>
              <wp:lineTo x="20940" y="20847"/>
              <wp:lineTo x="21395" y="13898"/>
              <wp:lineTo x="21395" y="1737"/>
              <wp:lineTo x="18436" y="0"/>
              <wp:lineTo x="1456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中英JOYNEXT_透明底.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845" cy="473710"/>
                  </a:xfrm>
                  <a:prstGeom prst="rect">
                    <a:avLst/>
                  </a:prstGeom>
                </pic:spPr>
              </pic:pic>
            </a:graphicData>
          </a:graphic>
        </wp:anchor>
      </w:drawing>
    </w:r>
  </w:p>
  <w:p w14:paraId="65648C1C" w14:textId="669F8B6C" w:rsidR="00881BC8" w:rsidRPr="00DD6B0F" w:rsidRDefault="00DD6B0F" w:rsidP="00881BC8">
    <w:pPr>
      <w:pStyle w:val="Header"/>
      <w:wordWrap w:val="0"/>
      <w:jc w:val="right"/>
      <w:rPr>
        <w:rFonts w:ascii="DINPro-Regular" w:hAnsi="DINPro-Regular"/>
        <w:noProof/>
        <w:color w:val="808080" w:themeColor="background1" w:themeShade="80"/>
        <w:sz w:val="24"/>
        <w:lang w:val="de-DE" w:eastAsia="zh-CN"/>
      </w:rPr>
    </w:pPr>
    <w:r>
      <w:tab/>
    </w:r>
    <w:r>
      <w:tab/>
    </w:r>
  </w:p>
  <w:p w14:paraId="0ABF8CC8" w14:textId="4E2A5045" w:rsidR="00881BC8" w:rsidRPr="005E49E4" w:rsidRDefault="00C57E6C" w:rsidP="00881BC8">
    <w:pPr>
      <w:pStyle w:val="Header"/>
      <w:jc w:val="right"/>
      <w:rPr>
        <w:rFonts w:ascii="DINPro-Regular" w:hAnsi="DINPro-Regular"/>
        <w:b/>
        <w:bCs/>
        <w:noProof/>
        <w:color w:val="808080" w:themeColor="background1" w:themeShade="80"/>
        <w:sz w:val="16"/>
        <w:szCs w:val="11"/>
        <w:lang w:val="de-DE" w:eastAsia="zh-CN"/>
      </w:rPr>
    </w:pPr>
    <w:r>
      <w:rPr>
        <w:rFonts w:ascii="DINPro-Regular" w:hAnsi="DINPro-Regular"/>
        <w:b/>
        <w:bCs/>
        <w:noProof/>
        <w:color w:val="808080" w:themeColor="background1" w:themeShade="80"/>
        <w:sz w:val="28"/>
        <w:szCs w:val="21"/>
        <w:lang w:val="de-DE" w:eastAsia="zh-CN"/>
      </w:rPr>
      <w:t>PRESS</w:t>
    </w:r>
    <w:r w:rsidR="008F3A55">
      <w:rPr>
        <w:rFonts w:ascii="DINPro-Regular" w:hAnsi="DINPro-Regular"/>
        <w:b/>
        <w:bCs/>
        <w:noProof/>
        <w:color w:val="808080" w:themeColor="background1" w:themeShade="80"/>
        <w:sz w:val="28"/>
        <w:szCs w:val="21"/>
        <w:lang w:val="de-DE" w:eastAsia="zh-CN"/>
      </w:rPr>
      <w:t xml:space="preserve"> </w:t>
    </w:r>
    <w:r w:rsidR="00881BC8" w:rsidRPr="005E49E4">
      <w:rPr>
        <w:rFonts w:ascii="DINPro-Regular" w:hAnsi="DINPro-Regular"/>
        <w:b/>
        <w:bCs/>
        <w:noProof/>
        <w:color w:val="808080" w:themeColor="background1" w:themeShade="80"/>
        <w:sz w:val="28"/>
        <w:szCs w:val="21"/>
        <w:lang w:val="de-DE" w:eastAsia="zh-CN"/>
      </w:rPr>
      <w:t>R</w:t>
    </w:r>
    <w:r w:rsidR="00A70507">
      <w:rPr>
        <w:rFonts w:ascii="DINPro-Regular" w:hAnsi="DINPro-Regular"/>
        <w:b/>
        <w:bCs/>
        <w:noProof/>
        <w:color w:val="808080" w:themeColor="background1" w:themeShade="80"/>
        <w:sz w:val="28"/>
        <w:szCs w:val="21"/>
        <w:lang w:val="de-DE" w:eastAsia="zh-CN"/>
      </w:rPr>
      <w:t>ELEASE</w:t>
    </w:r>
    <w:r w:rsidR="00881BC8" w:rsidRPr="005E49E4">
      <w:rPr>
        <w:rFonts w:ascii="DINPro-Regular" w:hAnsi="DINPro-Regular" w:hint="eastAsia"/>
        <w:b/>
        <w:bCs/>
        <w:noProof/>
        <w:color w:val="808080" w:themeColor="background1" w:themeShade="80"/>
        <w:sz w:val="16"/>
        <w:szCs w:val="11"/>
        <w:lang w:val="de-DE" w:eastAsia="zh-CN"/>
      </w:rPr>
      <w:t xml:space="preserve"> </w:t>
    </w:r>
  </w:p>
  <w:p w14:paraId="70729066" w14:textId="77777777" w:rsidR="002969AF" w:rsidRDefault="00296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411"/>
    <w:multiLevelType w:val="hybridMultilevel"/>
    <w:tmpl w:val="72AA4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1F"/>
    <w:rsid w:val="00013C8A"/>
    <w:rsid w:val="00021296"/>
    <w:rsid w:val="0004791D"/>
    <w:rsid w:val="00047B6D"/>
    <w:rsid w:val="00062229"/>
    <w:rsid w:val="00065AB2"/>
    <w:rsid w:val="000745A0"/>
    <w:rsid w:val="00081C15"/>
    <w:rsid w:val="000838EF"/>
    <w:rsid w:val="000A3FCB"/>
    <w:rsid w:val="000B206B"/>
    <w:rsid w:val="000D5B62"/>
    <w:rsid w:val="000E45F3"/>
    <w:rsid w:val="001049A7"/>
    <w:rsid w:val="00117AE0"/>
    <w:rsid w:val="00132E96"/>
    <w:rsid w:val="00132FB1"/>
    <w:rsid w:val="00135DC9"/>
    <w:rsid w:val="0014123B"/>
    <w:rsid w:val="0014320D"/>
    <w:rsid w:val="001543F1"/>
    <w:rsid w:val="001602F1"/>
    <w:rsid w:val="00160341"/>
    <w:rsid w:val="00160383"/>
    <w:rsid w:val="001614E5"/>
    <w:rsid w:val="001875E7"/>
    <w:rsid w:val="001A0DA7"/>
    <w:rsid w:val="001E00F1"/>
    <w:rsid w:val="001E3C70"/>
    <w:rsid w:val="001F31F9"/>
    <w:rsid w:val="001F6243"/>
    <w:rsid w:val="00200FAF"/>
    <w:rsid w:val="00203CD3"/>
    <w:rsid w:val="00217347"/>
    <w:rsid w:val="002222B2"/>
    <w:rsid w:val="00236459"/>
    <w:rsid w:val="00245B2E"/>
    <w:rsid w:val="002519E9"/>
    <w:rsid w:val="002742EA"/>
    <w:rsid w:val="00281683"/>
    <w:rsid w:val="00282E58"/>
    <w:rsid w:val="002863D0"/>
    <w:rsid w:val="002969AF"/>
    <w:rsid w:val="002A1150"/>
    <w:rsid w:val="002A6568"/>
    <w:rsid w:val="002B4CDD"/>
    <w:rsid w:val="002C3A8B"/>
    <w:rsid w:val="002C3DBF"/>
    <w:rsid w:val="002C62C7"/>
    <w:rsid w:val="002D2F36"/>
    <w:rsid w:val="002D331E"/>
    <w:rsid w:val="002D6232"/>
    <w:rsid w:val="002D7547"/>
    <w:rsid w:val="002F0F88"/>
    <w:rsid w:val="0030056E"/>
    <w:rsid w:val="00310008"/>
    <w:rsid w:val="003159AB"/>
    <w:rsid w:val="00346696"/>
    <w:rsid w:val="00352F3B"/>
    <w:rsid w:val="003622E5"/>
    <w:rsid w:val="00363555"/>
    <w:rsid w:val="00364246"/>
    <w:rsid w:val="00376CAB"/>
    <w:rsid w:val="003A2764"/>
    <w:rsid w:val="003B10A9"/>
    <w:rsid w:val="003B5646"/>
    <w:rsid w:val="003C4069"/>
    <w:rsid w:val="003C6A55"/>
    <w:rsid w:val="003E446F"/>
    <w:rsid w:val="003E6B8E"/>
    <w:rsid w:val="003F11F8"/>
    <w:rsid w:val="0040296A"/>
    <w:rsid w:val="00426639"/>
    <w:rsid w:val="00435C7C"/>
    <w:rsid w:val="00451CA4"/>
    <w:rsid w:val="00452C02"/>
    <w:rsid w:val="00453EAB"/>
    <w:rsid w:val="00457417"/>
    <w:rsid w:val="00463043"/>
    <w:rsid w:val="00466DCB"/>
    <w:rsid w:val="0047028A"/>
    <w:rsid w:val="00486648"/>
    <w:rsid w:val="004A4919"/>
    <w:rsid w:val="004B0B46"/>
    <w:rsid w:val="004B19DC"/>
    <w:rsid w:val="004B2190"/>
    <w:rsid w:val="004B4A87"/>
    <w:rsid w:val="004C33D0"/>
    <w:rsid w:val="004D2C56"/>
    <w:rsid w:val="004E4885"/>
    <w:rsid w:val="004F196F"/>
    <w:rsid w:val="004F22F6"/>
    <w:rsid w:val="00512B4F"/>
    <w:rsid w:val="00514F00"/>
    <w:rsid w:val="00515238"/>
    <w:rsid w:val="00516608"/>
    <w:rsid w:val="00522C84"/>
    <w:rsid w:val="00526A3B"/>
    <w:rsid w:val="00535473"/>
    <w:rsid w:val="00536665"/>
    <w:rsid w:val="00544FBB"/>
    <w:rsid w:val="00554BE0"/>
    <w:rsid w:val="00571DA9"/>
    <w:rsid w:val="005A7D48"/>
    <w:rsid w:val="005B023B"/>
    <w:rsid w:val="005B313E"/>
    <w:rsid w:val="005D13B3"/>
    <w:rsid w:val="005D3C1F"/>
    <w:rsid w:val="005E3C6E"/>
    <w:rsid w:val="005E49E4"/>
    <w:rsid w:val="005E511A"/>
    <w:rsid w:val="005E791E"/>
    <w:rsid w:val="006128C6"/>
    <w:rsid w:val="00620D97"/>
    <w:rsid w:val="00632F58"/>
    <w:rsid w:val="0063322F"/>
    <w:rsid w:val="0063535D"/>
    <w:rsid w:val="006446B1"/>
    <w:rsid w:val="006457FB"/>
    <w:rsid w:val="0066181D"/>
    <w:rsid w:val="00673090"/>
    <w:rsid w:val="00687389"/>
    <w:rsid w:val="006D4F2F"/>
    <w:rsid w:val="006E0691"/>
    <w:rsid w:val="006F743D"/>
    <w:rsid w:val="00725DC3"/>
    <w:rsid w:val="0074447D"/>
    <w:rsid w:val="0074704A"/>
    <w:rsid w:val="00756F48"/>
    <w:rsid w:val="0076408B"/>
    <w:rsid w:val="007647D8"/>
    <w:rsid w:val="00766A5E"/>
    <w:rsid w:val="00767AC9"/>
    <w:rsid w:val="00793714"/>
    <w:rsid w:val="00794A37"/>
    <w:rsid w:val="007A3384"/>
    <w:rsid w:val="007A4ADE"/>
    <w:rsid w:val="007A662A"/>
    <w:rsid w:val="007F31C5"/>
    <w:rsid w:val="007F78B3"/>
    <w:rsid w:val="00825B6A"/>
    <w:rsid w:val="00835B75"/>
    <w:rsid w:val="00854179"/>
    <w:rsid w:val="00855FA2"/>
    <w:rsid w:val="00860AC1"/>
    <w:rsid w:val="00863708"/>
    <w:rsid w:val="00881BC8"/>
    <w:rsid w:val="008B24AA"/>
    <w:rsid w:val="008C6B91"/>
    <w:rsid w:val="008D23BC"/>
    <w:rsid w:val="008D6689"/>
    <w:rsid w:val="008F3A55"/>
    <w:rsid w:val="00906B7B"/>
    <w:rsid w:val="00910B8C"/>
    <w:rsid w:val="009267CB"/>
    <w:rsid w:val="00930980"/>
    <w:rsid w:val="00936B35"/>
    <w:rsid w:val="00942923"/>
    <w:rsid w:val="00943F11"/>
    <w:rsid w:val="00955DA8"/>
    <w:rsid w:val="009601FE"/>
    <w:rsid w:val="009637B7"/>
    <w:rsid w:val="00965D59"/>
    <w:rsid w:val="00967A3F"/>
    <w:rsid w:val="00967AAE"/>
    <w:rsid w:val="0098439D"/>
    <w:rsid w:val="009B284D"/>
    <w:rsid w:val="009C0518"/>
    <w:rsid w:val="009D246E"/>
    <w:rsid w:val="009D40E4"/>
    <w:rsid w:val="009E33DF"/>
    <w:rsid w:val="009F1C3F"/>
    <w:rsid w:val="009F21CC"/>
    <w:rsid w:val="00A00BC4"/>
    <w:rsid w:val="00A04076"/>
    <w:rsid w:val="00A05FE6"/>
    <w:rsid w:val="00A428C5"/>
    <w:rsid w:val="00A4309D"/>
    <w:rsid w:val="00A452A1"/>
    <w:rsid w:val="00A70507"/>
    <w:rsid w:val="00A758EF"/>
    <w:rsid w:val="00A83A59"/>
    <w:rsid w:val="00A90643"/>
    <w:rsid w:val="00A9064F"/>
    <w:rsid w:val="00A9530A"/>
    <w:rsid w:val="00A95468"/>
    <w:rsid w:val="00A9688A"/>
    <w:rsid w:val="00A970EE"/>
    <w:rsid w:val="00AA12D8"/>
    <w:rsid w:val="00AB338F"/>
    <w:rsid w:val="00AE2659"/>
    <w:rsid w:val="00AE2944"/>
    <w:rsid w:val="00AE2CAD"/>
    <w:rsid w:val="00AE2E92"/>
    <w:rsid w:val="00AF3735"/>
    <w:rsid w:val="00AF6B4D"/>
    <w:rsid w:val="00B11B3E"/>
    <w:rsid w:val="00B120B0"/>
    <w:rsid w:val="00B21F7C"/>
    <w:rsid w:val="00B36071"/>
    <w:rsid w:val="00B610D4"/>
    <w:rsid w:val="00B67CB2"/>
    <w:rsid w:val="00B81172"/>
    <w:rsid w:val="00B817C9"/>
    <w:rsid w:val="00B84CF0"/>
    <w:rsid w:val="00B8792C"/>
    <w:rsid w:val="00B94F8E"/>
    <w:rsid w:val="00B96EE3"/>
    <w:rsid w:val="00BB4E95"/>
    <w:rsid w:val="00BC04AF"/>
    <w:rsid w:val="00BC313F"/>
    <w:rsid w:val="00BD5ADE"/>
    <w:rsid w:val="00BF1A27"/>
    <w:rsid w:val="00BF7F67"/>
    <w:rsid w:val="00C02D46"/>
    <w:rsid w:val="00C03806"/>
    <w:rsid w:val="00C10087"/>
    <w:rsid w:val="00C10EF0"/>
    <w:rsid w:val="00C11B17"/>
    <w:rsid w:val="00C22D95"/>
    <w:rsid w:val="00C260D2"/>
    <w:rsid w:val="00C52489"/>
    <w:rsid w:val="00C536D0"/>
    <w:rsid w:val="00C57E6C"/>
    <w:rsid w:val="00C659BD"/>
    <w:rsid w:val="00C740FD"/>
    <w:rsid w:val="00C87FD6"/>
    <w:rsid w:val="00C96286"/>
    <w:rsid w:val="00CA22C9"/>
    <w:rsid w:val="00CC3FFF"/>
    <w:rsid w:val="00CD0700"/>
    <w:rsid w:val="00CD6273"/>
    <w:rsid w:val="00CD6FBF"/>
    <w:rsid w:val="00CE0B80"/>
    <w:rsid w:val="00CF1526"/>
    <w:rsid w:val="00CF1CB1"/>
    <w:rsid w:val="00CF69F4"/>
    <w:rsid w:val="00D01983"/>
    <w:rsid w:val="00D05004"/>
    <w:rsid w:val="00D0577C"/>
    <w:rsid w:val="00D22E57"/>
    <w:rsid w:val="00D26C24"/>
    <w:rsid w:val="00D34D61"/>
    <w:rsid w:val="00D5062B"/>
    <w:rsid w:val="00D7473A"/>
    <w:rsid w:val="00D86885"/>
    <w:rsid w:val="00DA32C6"/>
    <w:rsid w:val="00DA49D7"/>
    <w:rsid w:val="00DB3C52"/>
    <w:rsid w:val="00DC48BE"/>
    <w:rsid w:val="00DD1CD3"/>
    <w:rsid w:val="00DD6B0F"/>
    <w:rsid w:val="00DE0F76"/>
    <w:rsid w:val="00DE36D3"/>
    <w:rsid w:val="00DF04E5"/>
    <w:rsid w:val="00DF3B28"/>
    <w:rsid w:val="00DF58F6"/>
    <w:rsid w:val="00E034B1"/>
    <w:rsid w:val="00E17988"/>
    <w:rsid w:val="00E2364F"/>
    <w:rsid w:val="00E2536A"/>
    <w:rsid w:val="00E26AFB"/>
    <w:rsid w:val="00E53310"/>
    <w:rsid w:val="00E54698"/>
    <w:rsid w:val="00E549D1"/>
    <w:rsid w:val="00E63962"/>
    <w:rsid w:val="00E77F86"/>
    <w:rsid w:val="00E9203F"/>
    <w:rsid w:val="00E964F4"/>
    <w:rsid w:val="00E97D15"/>
    <w:rsid w:val="00EA513D"/>
    <w:rsid w:val="00EB5453"/>
    <w:rsid w:val="00ED1854"/>
    <w:rsid w:val="00ED5484"/>
    <w:rsid w:val="00EE065B"/>
    <w:rsid w:val="00EE4016"/>
    <w:rsid w:val="00EE4D72"/>
    <w:rsid w:val="00EE5F1F"/>
    <w:rsid w:val="00EF5646"/>
    <w:rsid w:val="00EF752A"/>
    <w:rsid w:val="00F1014F"/>
    <w:rsid w:val="00F11B9D"/>
    <w:rsid w:val="00F20634"/>
    <w:rsid w:val="00F21BB6"/>
    <w:rsid w:val="00F56C1E"/>
    <w:rsid w:val="00F67FA7"/>
    <w:rsid w:val="00F90FC3"/>
    <w:rsid w:val="00F969FB"/>
    <w:rsid w:val="00F96BE2"/>
    <w:rsid w:val="00F970D3"/>
    <w:rsid w:val="00FC3009"/>
    <w:rsid w:val="00FE3B53"/>
    <w:rsid w:val="00FE72D0"/>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32C34"/>
  <w15:chartTrackingRefBased/>
  <w15:docId w15:val="{F69A2B55-15D1-4E22-9F98-62F4D1BD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A5E"/>
    <w:pPr>
      <w:spacing w:after="0" w:line="240" w:lineRule="auto"/>
    </w:pPr>
    <w:rPr>
      <w:rFonts w:ascii="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9AF"/>
    <w:pPr>
      <w:tabs>
        <w:tab w:val="center" w:pos="4680"/>
        <w:tab w:val="right" w:pos="9360"/>
      </w:tabs>
    </w:pPr>
  </w:style>
  <w:style w:type="character" w:customStyle="1" w:styleId="HeaderChar">
    <w:name w:val="Header Char"/>
    <w:basedOn w:val="DefaultParagraphFont"/>
    <w:link w:val="Header"/>
    <w:uiPriority w:val="99"/>
    <w:rsid w:val="002969AF"/>
  </w:style>
  <w:style w:type="paragraph" w:styleId="Footer">
    <w:name w:val="footer"/>
    <w:basedOn w:val="Normal"/>
    <w:link w:val="FooterChar"/>
    <w:uiPriority w:val="99"/>
    <w:unhideWhenUsed/>
    <w:rsid w:val="002969AF"/>
    <w:pPr>
      <w:tabs>
        <w:tab w:val="center" w:pos="4680"/>
        <w:tab w:val="right" w:pos="9360"/>
      </w:tabs>
    </w:pPr>
  </w:style>
  <w:style w:type="character" w:customStyle="1" w:styleId="FooterChar">
    <w:name w:val="Footer Char"/>
    <w:basedOn w:val="DefaultParagraphFont"/>
    <w:link w:val="Footer"/>
    <w:uiPriority w:val="99"/>
    <w:rsid w:val="002969AF"/>
  </w:style>
  <w:style w:type="character" w:styleId="CommentReference">
    <w:name w:val="annotation reference"/>
    <w:basedOn w:val="DefaultParagraphFont"/>
    <w:semiHidden/>
    <w:rsid w:val="00766A5E"/>
    <w:rPr>
      <w:sz w:val="16"/>
      <w:szCs w:val="16"/>
    </w:rPr>
  </w:style>
  <w:style w:type="paragraph" w:styleId="CommentText">
    <w:name w:val="annotation text"/>
    <w:basedOn w:val="Normal"/>
    <w:link w:val="CommentTextChar"/>
    <w:semiHidden/>
    <w:rsid w:val="00766A5E"/>
  </w:style>
  <w:style w:type="character" w:customStyle="1" w:styleId="CommentTextChar">
    <w:name w:val="Comment Text Char"/>
    <w:basedOn w:val="DefaultParagraphFont"/>
    <w:link w:val="CommentText"/>
    <w:semiHidden/>
    <w:rsid w:val="00766A5E"/>
    <w:rPr>
      <w:rFonts w:ascii="Times New Roman" w:hAnsi="Times New Roman" w:cs="Times New Roman"/>
      <w:sz w:val="20"/>
      <w:szCs w:val="20"/>
      <w:lang w:eastAsia="en-US"/>
    </w:rPr>
  </w:style>
  <w:style w:type="paragraph" w:styleId="ListParagraph">
    <w:name w:val="List Paragraph"/>
    <w:basedOn w:val="Normal"/>
    <w:uiPriority w:val="34"/>
    <w:qFormat/>
    <w:rsid w:val="00766A5E"/>
    <w:pPr>
      <w:ind w:left="720"/>
      <w:contextualSpacing/>
    </w:pPr>
  </w:style>
  <w:style w:type="paragraph" w:styleId="BalloonText">
    <w:name w:val="Balloon Text"/>
    <w:basedOn w:val="Normal"/>
    <w:link w:val="BalloonTextChar"/>
    <w:uiPriority w:val="99"/>
    <w:semiHidden/>
    <w:unhideWhenUsed/>
    <w:rsid w:val="00766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A5E"/>
    <w:rPr>
      <w:rFonts w:ascii="Segoe UI" w:hAnsi="Segoe UI" w:cs="Segoe UI"/>
      <w:sz w:val="18"/>
      <w:szCs w:val="18"/>
      <w:lang w:eastAsia="en-US"/>
    </w:rPr>
  </w:style>
  <w:style w:type="character" w:customStyle="1" w:styleId="apple-converted-space">
    <w:name w:val="apple-converted-space"/>
    <w:basedOn w:val="DefaultParagraphFont"/>
    <w:rsid w:val="00081C15"/>
  </w:style>
  <w:style w:type="character" w:customStyle="1" w:styleId="tran">
    <w:name w:val="tran"/>
    <w:basedOn w:val="DefaultParagraphFont"/>
    <w:rsid w:val="00081C15"/>
  </w:style>
  <w:style w:type="character" w:customStyle="1" w:styleId="tgt">
    <w:name w:val="tgt"/>
    <w:basedOn w:val="DefaultParagraphFont"/>
    <w:rsid w:val="00363555"/>
  </w:style>
  <w:style w:type="paragraph" w:styleId="CommentSubject">
    <w:name w:val="annotation subject"/>
    <w:basedOn w:val="CommentText"/>
    <w:next w:val="CommentText"/>
    <w:link w:val="CommentSubjectChar"/>
    <w:uiPriority w:val="99"/>
    <w:semiHidden/>
    <w:unhideWhenUsed/>
    <w:rsid w:val="00457417"/>
    <w:rPr>
      <w:b/>
      <w:bCs/>
    </w:rPr>
  </w:style>
  <w:style w:type="character" w:customStyle="1" w:styleId="CommentSubjectChar">
    <w:name w:val="Comment Subject Char"/>
    <w:basedOn w:val="CommentTextChar"/>
    <w:link w:val="CommentSubject"/>
    <w:uiPriority w:val="99"/>
    <w:semiHidden/>
    <w:rsid w:val="00457417"/>
    <w:rPr>
      <w:rFonts w:ascii="Times New Roman" w:hAnsi="Times New Roman" w:cs="Times New Roman"/>
      <w:b/>
      <w:bCs/>
      <w:sz w:val="20"/>
      <w:szCs w:val="20"/>
      <w:lang w:eastAsia="en-US"/>
    </w:rPr>
  </w:style>
  <w:style w:type="paragraph" w:styleId="Revision">
    <w:name w:val="Revision"/>
    <w:hidden/>
    <w:uiPriority w:val="99"/>
    <w:semiHidden/>
    <w:rsid w:val="00376CAB"/>
    <w:pPr>
      <w:spacing w:after="0" w:line="240" w:lineRule="auto"/>
    </w:pPr>
    <w:rPr>
      <w:rFonts w:ascii="Times New Roman" w:hAnsi="Times New Roman" w:cs="Times New Roman"/>
      <w:sz w:val="20"/>
      <w:szCs w:val="20"/>
      <w:lang w:eastAsia="en-US"/>
    </w:rPr>
  </w:style>
  <w:style w:type="character" w:styleId="Hyperlink">
    <w:name w:val="Hyperlink"/>
    <w:basedOn w:val="DefaultParagraphFont"/>
    <w:uiPriority w:val="99"/>
    <w:unhideWhenUsed/>
    <w:rsid w:val="00CD6273"/>
    <w:rPr>
      <w:color w:val="0563C1" w:themeColor="hyperlink"/>
      <w:u w:val="single"/>
    </w:rPr>
  </w:style>
  <w:style w:type="character" w:styleId="UnresolvedMention">
    <w:name w:val="Unresolved Mention"/>
    <w:basedOn w:val="DefaultParagraphFont"/>
    <w:uiPriority w:val="99"/>
    <w:semiHidden/>
    <w:unhideWhenUsed/>
    <w:rsid w:val="00CD6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89850">
      <w:bodyDiv w:val="1"/>
      <w:marLeft w:val="0"/>
      <w:marRight w:val="0"/>
      <w:marTop w:val="0"/>
      <w:marBottom w:val="0"/>
      <w:divBdr>
        <w:top w:val="none" w:sz="0" w:space="0" w:color="auto"/>
        <w:left w:val="none" w:sz="0" w:space="0" w:color="auto"/>
        <w:bottom w:val="none" w:sz="0" w:space="0" w:color="auto"/>
        <w:right w:val="none" w:sz="0" w:space="0" w:color="auto"/>
      </w:divBdr>
    </w:div>
    <w:div w:id="1422219937">
      <w:bodyDiv w:val="1"/>
      <w:marLeft w:val="0"/>
      <w:marRight w:val="0"/>
      <w:marTop w:val="0"/>
      <w:marBottom w:val="0"/>
      <w:divBdr>
        <w:top w:val="none" w:sz="0" w:space="0" w:color="auto"/>
        <w:left w:val="none" w:sz="0" w:space="0" w:color="auto"/>
        <w:bottom w:val="none" w:sz="0" w:space="0" w:color="auto"/>
        <w:right w:val="none" w:sz="0" w:space="0" w:color="auto"/>
      </w:divBdr>
    </w:div>
    <w:div w:id="19381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8B78-EA7F-4EE5-B7D7-AE6582CF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PREH</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Shao Shiling</dc:creator>
  <cp:keywords/>
  <dc:description/>
  <cp:lastModifiedBy>Qian Fangyuan</cp:lastModifiedBy>
  <cp:revision>2</cp:revision>
  <cp:lastPrinted>2022-08-23T02:48:00Z</cp:lastPrinted>
  <dcterms:created xsi:type="dcterms:W3CDTF">2022-08-23T02:53:00Z</dcterms:created>
  <dcterms:modified xsi:type="dcterms:W3CDTF">2022-08-23T02:53:00Z</dcterms:modified>
</cp:coreProperties>
</file>